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4C7B" w:rsidRPr="003B03D6" w:rsidRDefault="003B03D6" w:rsidP="003B03D6">
      <w:pPr>
        <w:jc w:val="center"/>
        <w:rPr>
          <w:sz w:val="28"/>
          <w:szCs w:val="28"/>
        </w:rPr>
      </w:pPr>
      <w:r w:rsidRPr="003B03D6">
        <w:rPr>
          <w:sz w:val="28"/>
          <w:szCs w:val="28"/>
        </w:rPr>
        <w:t>SPRAWOZDANIE FINANSOWE</w:t>
      </w:r>
    </w:p>
    <w:p w:rsidR="003B03D6" w:rsidRDefault="003B03D6" w:rsidP="003B03D6">
      <w:pPr>
        <w:ind w:left="2124"/>
      </w:pPr>
    </w:p>
    <w:p w:rsidR="003B03D6" w:rsidRPr="003B03D6" w:rsidRDefault="003B03D6" w:rsidP="003B03D6">
      <w:pPr>
        <w:jc w:val="center"/>
        <w:rPr>
          <w:sz w:val="24"/>
          <w:szCs w:val="24"/>
        </w:rPr>
      </w:pPr>
      <w:r w:rsidRPr="003B03D6">
        <w:rPr>
          <w:sz w:val="24"/>
          <w:szCs w:val="24"/>
        </w:rPr>
        <w:t>Gminna Biblioteka Publiczna w Grzmiącej</w:t>
      </w:r>
    </w:p>
    <w:p w:rsidR="003B03D6" w:rsidRPr="003B03D6" w:rsidRDefault="003B03D6" w:rsidP="003B03D6">
      <w:pPr>
        <w:jc w:val="center"/>
        <w:rPr>
          <w:sz w:val="24"/>
          <w:szCs w:val="24"/>
        </w:rPr>
      </w:pPr>
      <w:r w:rsidRPr="003B03D6">
        <w:rPr>
          <w:sz w:val="24"/>
          <w:szCs w:val="24"/>
        </w:rPr>
        <w:t>ul. Kolejowa 7, 78-450 Grzmiąca</w:t>
      </w:r>
    </w:p>
    <w:p w:rsidR="003B03D6" w:rsidRPr="003B03D6" w:rsidRDefault="003B03D6" w:rsidP="003B03D6">
      <w:pPr>
        <w:jc w:val="center"/>
        <w:rPr>
          <w:sz w:val="24"/>
          <w:szCs w:val="24"/>
        </w:rPr>
      </w:pPr>
      <w:r w:rsidRPr="003B03D6">
        <w:rPr>
          <w:sz w:val="24"/>
          <w:szCs w:val="24"/>
        </w:rPr>
        <w:t>NIP: 673-18-67-082</w:t>
      </w:r>
    </w:p>
    <w:p w:rsidR="003B03D6" w:rsidRPr="003B03D6" w:rsidRDefault="003B03D6" w:rsidP="003B03D6">
      <w:pPr>
        <w:jc w:val="center"/>
        <w:rPr>
          <w:sz w:val="24"/>
          <w:szCs w:val="24"/>
        </w:rPr>
      </w:pPr>
      <w:r w:rsidRPr="003B03D6">
        <w:rPr>
          <w:sz w:val="24"/>
          <w:szCs w:val="24"/>
        </w:rPr>
        <w:t>Regon: 320633795</w:t>
      </w:r>
    </w:p>
    <w:p w:rsidR="003B03D6" w:rsidRPr="003B03D6" w:rsidRDefault="003B03D6">
      <w:pPr>
        <w:rPr>
          <w:sz w:val="24"/>
          <w:szCs w:val="24"/>
        </w:rPr>
      </w:pPr>
    </w:p>
    <w:p w:rsidR="003B03D6" w:rsidRPr="003B03D6" w:rsidRDefault="003B03D6">
      <w:pPr>
        <w:rPr>
          <w:sz w:val="24"/>
          <w:szCs w:val="24"/>
        </w:rPr>
      </w:pPr>
    </w:p>
    <w:p w:rsidR="003B03D6" w:rsidRDefault="003B03D6" w:rsidP="003B03D6">
      <w:pPr>
        <w:jc w:val="center"/>
        <w:rPr>
          <w:sz w:val="24"/>
          <w:szCs w:val="24"/>
        </w:rPr>
      </w:pPr>
      <w:r w:rsidRPr="003B03D6">
        <w:rPr>
          <w:sz w:val="24"/>
          <w:szCs w:val="24"/>
        </w:rPr>
        <w:t>Wprowadzenie do sprawozdania finansowego</w:t>
      </w:r>
    </w:p>
    <w:p w:rsidR="003B03D6" w:rsidRPr="003B03D6" w:rsidRDefault="003B03D6" w:rsidP="003B03D6">
      <w:pPr>
        <w:jc w:val="center"/>
        <w:rPr>
          <w:sz w:val="24"/>
          <w:szCs w:val="24"/>
        </w:rPr>
      </w:pPr>
      <w:r w:rsidRPr="003B03D6">
        <w:rPr>
          <w:sz w:val="24"/>
          <w:szCs w:val="24"/>
        </w:rPr>
        <w:t>sporządzonego na dzień 31 grudnia 2020 r.</w:t>
      </w:r>
    </w:p>
    <w:p w:rsidR="003B03D6" w:rsidRDefault="003B03D6">
      <w:pPr>
        <w:rPr>
          <w:sz w:val="24"/>
          <w:szCs w:val="24"/>
        </w:rPr>
      </w:pPr>
    </w:p>
    <w:p w:rsidR="003B03D6" w:rsidRDefault="003B03D6">
      <w:pPr>
        <w:rPr>
          <w:sz w:val="24"/>
          <w:szCs w:val="24"/>
        </w:rPr>
      </w:pPr>
    </w:p>
    <w:p w:rsidR="003B03D6" w:rsidRPr="008727DD" w:rsidRDefault="003B03D6" w:rsidP="008727DD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8727DD">
        <w:rPr>
          <w:sz w:val="24"/>
          <w:szCs w:val="24"/>
        </w:rPr>
        <w:t>Gminna Biblioteka Publiczna w Grzmiącej została utworzona na mocy Uchwały Rady       Gminy  nr XXIII/159/2008 z dnia 30 grudnia 2008 roku. GBP jest samorządową instytucją kultury. Organizatorem Biblioteki jest Rada Gminy Grzmiąca. Instytucja wpisana jest do  rejestru instytucji kultury  prowadzonego przez Urząd Gminy w Grzmiącej pod nr 1.</w:t>
      </w:r>
    </w:p>
    <w:p w:rsidR="003B03D6" w:rsidRPr="008727DD" w:rsidRDefault="003B03D6" w:rsidP="008727DD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8727DD">
        <w:rPr>
          <w:sz w:val="24"/>
          <w:szCs w:val="24"/>
        </w:rPr>
        <w:t>Nadzór nad Biblioteką sprawuje Wójt Gminy Gr</w:t>
      </w:r>
      <w:r w:rsidR="009E30E1" w:rsidRPr="008727DD">
        <w:rPr>
          <w:sz w:val="24"/>
          <w:szCs w:val="24"/>
        </w:rPr>
        <w:t>z</w:t>
      </w:r>
      <w:r w:rsidRPr="008727DD">
        <w:rPr>
          <w:sz w:val="24"/>
          <w:szCs w:val="24"/>
        </w:rPr>
        <w:t>miąca.</w:t>
      </w:r>
    </w:p>
    <w:p w:rsidR="003B03D6" w:rsidRPr="008727DD" w:rsidRDefault="003B03D6" w:rsidP="008727DD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8727DD">
        <w:rPr>
          <w:sz w:val="24"/>
          <w:szCs w:val="24"/>
        </w:rPr>
        <w:t>Prze</w:t>
      </w:r>
      <w:r w:rsidR="009E30E1" w:rsidRPr="008727DD">
        <w:rPr>
          <w:sz w:val="24"/>
          <w:szCs w:val="24"/>
        </w:rPr>
        <w:t>d</w:t>
      </w:r>
      <w:r w:rsidRPr="008727DD">
        <w:rPr>
          <w:sz w:val="24"/>
          <w:szCs w:val="24"/>
        </w:rPr>
        <w:t>miotem działalnoś</w:t>
      </w:r>
      <w:r w:rsidR="009E30E1" w:rsidRPr="008727DD">
        <w:rPr>
          <w:sz w:val="24"/>
          <w:szCs w:val="24"/>
        </w:rPr>
        <w:t>c</w:t>
      </w:r>
      <w:r w:rsidRPr="008727DD">
        <w:rPr>
          <w:sz w:val="24"/>
          <w:szCs w:val="24"/>
        </w:rPr>
        <w:t xml:space="preserve">i </w:t>
      </w:r>
      <w:r w:rsidR="009E30E1" w:rsidRPr="008727DD">
        <w:rPr>
          <w:sz w:val="24"/>
          <w:szCs w:val="24"/>
        </w:rPr>
        <w:t>Biblioteki jest gromadzenie, opracowywanie, przechowywanie i udostępnianie zbiorów bibliotecznych, rozwijanie i zaspokajanie potrzeb czytelniczych, upowszechnianie wiedzy i nauki poprzez działalność placówek bibliotecznych na terenie gminy Grzmiąca.</w:t>
      </w:r>
    </w:p>
    <w:p w:rsidR="009E30E1" w:rsidRPr="008727DD" w:rsidRDefault="009E30E1" w:rsidP="008727DD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8727DD">
        <w:rPr>
          <w:sz w:val="24"/>
          <w:szCs w:val="24"/>
        </w:rPr>
        <w:t>Sprawozdanie finansowe obejmuje okres od 01.01.2020 do 31.12.2020 r.</w:t>
      </w:r>
    </w:p>
    <w:p w:rsidR="009E30E1" w:rsidRPr="008727DD" w:rsidRDefault="009E30E1" w:rsidP="008727DD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8727DD">
        <w:rPr>
          <w:sz w:val="24"/>
          <w:szCs w:val="24"/>
        </w:rPr>
        <w:t>Sprawozdanie finansowe sporządzone zostało przy założeniu możliwości dalszej kontynuacji działalności oraz nie istnieją okoliczności wskazujące na zagrożenie kontynuowania działalności w dotychczasowym zakresie.</w:t>
      </w:r>
    </w:p>
    <w:p w:rsidR="00E94400" w:rsidRPr="008727DD" w:rsidRDefault="009E30E1" w:rsidP="008727DD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8727DD">
        <w:rPr>
          <w:sz w:val="24"/>
          <w:szCs w:val="24"/>
        </w:rPr>
        <w:t xml:space="preserve">Księgi rachunkowe prowadzone są techniką komputerową w systemie SYMFONIA, spełniającym warunki stawiane przez Ustawę o rachunkowości. Dane liczbowe w sprawozdaniu </w:t>
      </w:r>
      <w:r w:rsidR="00E94400" w:rsidRPr="008727DD">
        <w:rPr>
          <w:sz w:val="24"/>
          <w:szCs w:val="24"/>
        </w:rPr>
        <w:t xml:space="preserve">uzyskane z wydruków komputerowych </w:t>
      </w:r>
      <w:r w:rsidRPr="008727DD">
        <w:rPr>
          <w:sz w:val="24"/>
          <w:szCs w:val="24"/>
        </w:rPr>
        <w:t>ujęte zostały w pełnych zło</w:t>
      </w:r>
      <w:r w:rsidR="00E94400" w:rsidRPr="008727DD">
        <w:rPr>
          <w:sz w:val="24"/>
          <w:szCs w:val="24"/>
        </w:rPr>
        <w:t>t</w:t>
      </w:r>
      <w:r w:rsidRPr="008727DD">
        <w:rPr>
          <w:sz w:val="24"/>
          <w:szCs w:val="24"/>
        </w:rPr>
        <w:t xml:space="preserve">ych </w:t>
      </w:r>
      <w:r w:rsidR="00E94400" w:rsidRPr="008727DD">
        <w:rPr>
          <w:sz w:val="24"/>
          <w:szCs w:val="24"/>
        </w:rPr>
        <w:t>oraz groszach.</w:t>
      </w:r>
    </w:p>
    <w:p w:rsidR="00E94400" w:rsidRPr="008727DD" w:rsidRDefault="00E94400" w:rsidP="008727DD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8727DD">
        <w:rPr>
          <w:sz w:val="24"/>
          <w:szCs w:val="24"/>
        </w:rPr>
        <w:t>Aktywa i pasywa wycenia się zgodnie z zasadami określonymi w Ustawie o rachunkowości, przy zastosowaniu reguły: cena nabycia z uwzględnieniem ewentualnej utraty wartości aktywów.</w:t>
      </w:r>
    </w:p>
    <w:p w:rsidR="00010D2F" w:rsidRPr="008727DD" w:rsidRDefault="00E94400" w:rsidP="008727DD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8727DD">
        <w:rPr>
          <w:sz w:val="24"/>
          <w:szCs w:val="24"/>
        </w:rPr>
        <w:t>Odpisów amortyzacyjnych dokonuje się metodą liniową. Przy ustalaniu okresów amortyzacji rocznych stawek amortyzacyjnych środków trwałych oraz wartości niematerialnych i prawnych uwzględnia się stawki przewidziane  w przepisach podatkowych</w:t>
      </w:r>
      <w:r w:rsidR="00010D2F" w:rsidRPr="008727DD">
        <w:rPr>
          <w:sz w:val="24"/>
          <w:szCs w:val="24"/>
        </w:rPr>
        <w:t xml:space="preserve"> (załącznik nr 1 do ustawy o podatku dochodowym od osób fizycznych oraz ustawy o podatku dochodowym od osób prawnych).</w:t>
      </w:r>
    </w:p>
    <w:p w:rsidR="009E30E1" w:rsidRPr="008727DD" w:rsidRDefault="00010D2F" w:rsidP="008727DD">
      <w:pPr>
        <w:pStyle w:val="Akapitzlist"/>
        <w:numPr>
          <w:ilvl w:val="0"/>
          <w:numId w:val="3"/>
        </w:numPr>
        <w:jc w:val="both"/>
        <w:rPr>
          <w:sz w:val="24"/>
          <w:szCs w:val="24"/>
        </w:rPr>
      </w:pPr>
      <w:r w:rsidRPr="008727DD">
        <w:rPr>
          <w:sz w:val="24"/>
          <w:szCs w:val="24"/>
        </w:rPr>
        <w:lastRenderedPageBreak/>
        <w:t>Do amortyzacji środków trwałych oraz wartości niematerialnych i prawnych jednostka stosuje następujące zasady:</w:t>
      </w:r>
    </w:p>
    <w:p w:rsidR="00BF0316" w:rsidRPr="008727DD" w:rsidRDefault="00010D2F" w:rsidP="008727DD">
      <w:pPr>
        <w:pStyle w:val="Akapitzlist"/>
        <w:numPr>
          <w:ilvl w:val="0"/>
          <w:numId w:val="3"/>
        </w:numPr>
        <w:jc w:val="both"/>
        <w:rPr>
          <w:sz w:val="24"/>
          <w:szCs w:val="24"/>
        </w:rPr>
      </w:pPr>
      <w:r w:rsidRPr="008727DD">
        <w:rPr>
          <w:sz w:val="24"/>
          <w:szCs w:val="24"/>
        </w:rPr>
        <w:t xml:space="preserve">- przedmioty mające cechy </w:t>
      </w:r>
      <w:r w:rsidR="00BF0316" w:rsidRPr="008727DD">
        <w:rPr>
          <w:sz w:val="24"/>
          <w:szCs w:val="24"/>
        </w:rPr>
        <w:t>środków trwałych oraz długotrwałego okresu użytkowania o wartości nie przekraczającej 1 500,00 zł zalicz się do nisko cennych środków trwałych (wyposażenie), podlegają zaliczeniu w koszty zużycia materiałów w miesiącu wydania ich do użytkowania i ujmuje się w ewidencji pozabilansowej ilościowo-wartościowej.</w:t>
      </w:r>
    </w:p>
    <w:p w:rsidR="00BF0316" w:rsidRPr="008727DD" w:rsidRDefault="00BF0316" w:rsidP="008727DD">
      <w:pPr>
        <w:pStyle w:val="Akapitzlist"/>
        <w:numPr>
          <w:ilvl w:val="0"/>
          <w:numId w:val="3"/>
        </w:numPr>
        <w:jc w:val="both"/>
        <w:rPr>
          <w:sz w:val="24"/>
          <w:szCs w:val="24"/>
        </w:rPr>
      </w:pPr>
      <w:r w:rsidRPr="008727DD">
        <w:rPr>
          <w:sz w:val="24"/>
          <w:szCs w:val="24"/>
        </w:rPr>
        <w:t>- środki trwałe o wartości pomiędzy 1 500,00 zł – 10 000,00 zł zalicza się do pozostałych środków trwałych, przy jednoczesnym odpisaniu w koszty zużycia materiałów w miesiącu wydania ich do użytkowania i ujmuje się w ewidencji pozabilansowej ilościowo-wartościowej.</w:t>
      </w:r>
    </w:p>
    <w:p w:rsidR="00010D2F" w:rsidRPr="008727DD" w:rsidRDefault="00BF0316" w:rsidP="008727DD">
      <w:pPr>
        <w:pStyle w:val="Akapitzlist"/>
        <w:numPr>
          <w:ilvl w:val="0"/>
          <w:numId w:val="3"/>
        </w:numPr>
        <w:jc w:val="both"/>
        <w:rPr>
          <w:sz w:val="24"/>
          <w:szCs w:val="24"/>
        </w:rPr>
      </w:pPr>
      <w:r w:rsidRPr="008727DD">
        <w:rPr>
          <w:sz w:val="24"/>
          <w:szCs w:val="24"/>
        </w:rPr>
        <w:t>- środki trwałe o wartości powyżej 10 000,00 zł amortyzowane są z uwzględnien</w:t>
      </w:r>
      <w:r w:rsidR="006C3847" w:rsidRPr="008727DD">
        <w:rPr>
          <w:sz w:val="24"/>
          <w:szCs w:val="24"/>
        </w:rPr>
        <w:t>i</w:t>
      </w:r>
      <w:r w:rsidRPr="008727DD">
        <w:rPr>
          <w:sz w:val="24"/>
          <w:szCs w:val="24"/>
        </w:rPr>
        <w:t>em s</w:t>
      </w:r>
      <w:r w:rsidR="006C3847" w:rsidRPr="008727DD">
        <w:rPr>
          <w:sz w:val="24"/>
          <w:szCs w:val="24"/>
        </w:rPr>
        <w:t>t</w:t>
      </w:r>
      <w:r w:rsidRPr="008727DD">
        <w:rPr>
          <w:sz w:val="24"/>
          <w:szCs w:val="24"/>
        </w:rPr>
        <w:t>awek przewidzianych w przepisach podatkowych (</w:t>
      </w:r>
      <w:r w:rsidR="006C3847" w:rsidRPr="008727DD">
        <w:rPr>
          <w:sz w:val="24"/>
          <w:szCs w:val="24"/>
        </w:rPr>
        <w:t>załącznik nr 1 Ustawy o podatku dochodowym od osób fizycznych, oraz Ustawy o podatku dochodowym od osób prawnych) i ujmuje się w ewidencji ilościowo-wartościowej.</w:t>
      </w:r>
    </w:p>
    <w:p w:rsidR="006C3847" w:rsidRPr="008727DD" w:rsidRDefault="006C3847" w:rsidP="008727DD">
      <w:pPr>
        <w:pStyle w:val="Akapitzlist"/>
        <w:numPr>
          <w:ilvl w:val="0"/>
          <w:numId w:val="3"/>
        </w:numPr>
        <w:jc w:val="both"/>
        <w:rPr>
          <w:sz w:val="24"/>
          <w:szCs w:val="24"/>
        </w:rPr>
      </w:pPr>
      <w:r w:rsidRPr="008727DD">
        <w:rPr>
          <w:sz w:val="24"/>
          <w:szCs w:val="24"/>
        </w:rPr>
        <w:t>Zbiory biblioteczne pochodzące z zakupu ujmuje się w cenie nabycia w momencie oddania do użytkowania, a ujawnione nadwyżki lub otrzymane dary wycenia się komisyjnie w oparciu o szacunek ich aktualnej wartości rynkowej. Umorzenie zbiorów bibliotecznych następuje w miesiącu przyjęcia na stan.</w:t>
      </w:r>
    </w:p>
    <w:p w:rsidR="006C3847" w:rsidRPr="008727DD" w:rsidRDefault="006C3847" w:rsidP="008727DD">
      <w:pPr>
        <w:pStyle w:val="Akapitzlist"/>
        <w:numPr>
          <w:ilvl w:val="0"/>
          <w:numId w:val="3"/>
        </w:numPr>
        <w:jc w:val="both"/>
        <w:rPr>
          <w:sz w:val="24"/>
          <w:szCs w:val="24"/>
        </w:rPr>
      </w:pPr>
      <w:r w:rsidRPr="008727DD">
        <w:rPr>
          <w:sz w:val="24"/>
          <w:szCs w:val="24"/>
        </w:rPr>
        <w:t>zakupione materiały na potrzeby Biblioteki uznaje się za zużyte w dacie przyjęcia ich do używania.</w:t>
      </w:r>
    </w:p>
    <w:p w:rsidR="006C3847" w:rsidRPr="008727DD" w:rsidRDefault="006C3847" w:rsidP="008727DD">
      <w:pPr>
        <w:pStyle w:val="Akapitzlist"/>
        <w:numPr>
          <w:ilvl w:val="0"/>
          <w:numId w:val="3"/>
        </w:numPr>
        <w:jc w:val="both"/>
        <w:rPr>
          <w:sz w:val="24"/>
          <w:szCs w:val="24"/>
        </w:rPr>
      </w:pPr>
      <w:r w:rsidRPr="008727DD">
        <w:rPr>
          <w:sz w:val="24"/>
          <w:szCs w:val="24"/>
        </w:rPr>
        <w:t>Pozostałe aktywa obrotowe wycenia się w kwocie wymaganej zapłaty.</w:t>
      </w:r>
    </w:p>
    <w:p w:rsidR="006C3847" w:rsidRDefault="006C3847">
      <w:pPr>
        <w:rPr>
          <w:sz w:val="24"/>
          <w:szCs w:val="24"/>
        </w:rPr>
      </w:pPr>
    </w:p>
    <w:p w:rsidR="006C3847" w:rsidRDefault="006C3847">
      <w:pPr>
        <w:rPr>
          <w:sz w:val="24"/>
          <w:szCs w:val="24"/>
        </w:rPr>
      </w:pPr>
      <w:r>
        <w:rPr>
          <w:sz w:val="24"/>
          <w:szCs w:val="24"/>
        </w:rPr>
        <w:t>Grzmiąca, dnia 25 luty 2021 r.</w:t>
      </w:r>
    </w:p>
    <w:p w:rsidR="006C3847" w:rsidRDefault="006C3847">
      <w:pPr>
        <w:rPr>
          <w:sz w:val="24"/>
          <w:szCs w:val="24"/>
        </w:rPr>
      </w:pPr>
    </w:p>
    <w:p w:rsidR="006C3847" w:rsidRDefault="006C3847">
      <w:pPr>
        <w:rPr>
          <w:sz w:val="24"/>
          <w:szCs w:val="24"/>
        </w:rPr>
      </w:pPr>
    </w:p>
    <w:p w:rsidR="006C3847" w:rsidRDefault="006C3847">
      <w:pPr>
        <w:rPr>
          <w:sz w:val="24"/>
          <w:szCs w:val="24"/>
        </w:rPr>
      </w:pPr>
    </w:p>
    <w:p w:rsidR="006C3847" w:rsidRDefault="006C384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Główny Księgowy                                                                Dyrektor</w:t>
      </w:r>
    </w:p>
    <w:p w:rsidR="006C3847" w:rsidRPr="003B03D6" w:rsidRDefault="006C384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Teresa Bielawska    </w:t>
      </w:r>
      <w:bookmarkStart w:id="0" w:name="_GoBack"/>
      <w:bookmarkEnd w:id="0"/>
      <w:r>
        <w:rPr>
          <w:sz w:val="24"/>
          <w:szCs w:val="24"/>
        </w:rPr>
        <w:t xml:space="preserve">                                                             Jadwiga Kasztelan-</w:t>
      </w:r>
      <w:proofErr w:type="spellStart"/>
      <w:r>
        <w:rPr>
          <w:sz w:val="24"/>
          <w:szCs w:val="24"/>
        </w:rPr>
        <w:t>Massopust</w:t>
      </w:r>
      <w:proofErr w:type="spellEnd"/>
    </w:p>
    <w:sectPr w:rsidR="006C3847" w:rsidRPr="003B03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5A1E9C"/>
    <w:multiLevelType w:val="hybridMultilevel"/>
    <w:tmpl w:val="16E0E8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E91C50"/>
    <w:multiLevelType w:val="hybridMultilevel"/>
    <w:tmpl w:val="1AF0B6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7221CC"/>
    <w:multiLevelType w:val="hybridMultilevel"/>
    <w:tmpl w:val="788C15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3D6"/>
    <w:rsid w:val="00010D2F"/>
    <w:rsid w:val="003B03D6"/>
    <w:rsid w:val="005A0B50"/>
    <w:rsid w:val="006C3847"/>
    <w:rsid w:val="008727DD"/>
    <w:rsid w:val="00936A76"/>
    <w:rsid w:val="009E30E1"/>
    <w:rsid w:val="00BF0316"/>
    <w:rsid w:val="00E94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34D851-D186-48BB-8003-EFA6D54DA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727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525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2021-02-08T09:30:00Z</dcterms:created>
  <dcterms:modified xsi:type="dcterms:W3CDTF">2021-02-08T12:12:00Z</dcterms:modified>
</cp:coreProperties>
</file>